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AC" w:rsidRPr="00685EC7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Аннотация</w:t>
      </w:r>
    </w:p>
    <w:p w:rsidR="000619AC" w:rsidRPr="00685EC7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рабочей программы  профессионального модуля</w:t>
      </w:r>
    </w:p>
    <w:p w:rsidR="000619AC" w:rsidRPr="00685EC7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19AC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ПРОФЕССИИ КАССИР</w:t>
      </w:r>
    </w:p>
    <w:p w:rsidR="000619AC" w:rsidRPr="00685EC7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19AC" w:rsidRPr="00685EC7" w:rsidRDefault="000619AC" w:rsidP="00BC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0619AC" w:rsidRDefault="000619AC" w:rsidP="00A06E7F">
      <w:pPr>
        <w:pStyle w:val="ListParagraph"/>
        <w:ind w:left="0"/>
        <w:jc w:val="both"/>
        <w:rPr>
          <w:b/>
          <w:sz w:val="28"/>
          <w:szCs w:val="28"/>
        </w:rPr>
      </w:pPr>
    </w:p>
    <w:p w:rsidR="000619AC" w:rsidRDefault="000619AC" w:rsidP="00A06E7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BC7A23">
        <w:rPr>
          <w:b/>
          <w:i/>
        </w:rPr>
        <w:t xml:space="preserve">Цель и планируемые результаты освоения профессионального модуля </w:t>
      </w:r>
    </w:p>
    <w:p w:rsidR="000619AC" w:rsidRDefault="000619AC" w:rsidP="00A06E7F">
      <w:pPr>
        <w:suppressAutoHyphens/>
        <w:jc w:val="both"/>
      </w:pPr>
      <w:r w:rsidRPr="00C64D32">
        <w:t xml:space="preserve">В результате изучения профессионального модуля </w:t>
      </w:r>
      <w:r>
        <w:t>обучающийся</w:t>
      </w:r>
      <w:r w:rsidRPr="00C64D32">
        <w:t xml:space="preserve"> должен освоить </w:t>
      </w:r>
      <w:r w:rsidRPr="00D84EF1">
        <w:t>основной вид деятельности: выполнение работ по профессии «Кассир»,</w:t>
      </w:r>
      <w:r>
        <w:rPr>
          <w:b/>
          <w:sz w:val="28"/>
          <w:szCs w:val="28"/>
        </w:rPr>
        <w:t xml:space="preserve"> </w:t>
      </w:r>
      <w:r w:rsidRPr="00C64D32">
        <w:t>и соответствующие ему общие компетенции и профессиональные компетенции:</w:t>
      </w:r>
    </w:p>
    <w:p w:rsidR="000619AC" w:rsidRDefault="000619AC" w:rsidP="00A06E7F">
      <w:pPr>
        <w:suppressAutoHyphens/>
        <w:jc w:val="both"/>
      </w:pPr>
      <w:r>
        <w:t xml:space="preserve">1.1. </w:t>
      </w:r>
      <w:r w:rsidRPr="000A58C0"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619AC" w:rsidRPr="00C64D32" w:rsidTr="007D5055">
        <w:tc>
          <w:tcPr>
            <w:tcW w:w="1229" w:type="dxa"/>
          </w:tcPr>
          <w:p w:rsidR="000619AC" w:rsidRPr="00C64D32" w:rsidRDefault="000619AC" w:rsidP="007D505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C64D32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619AC" w:rsidRPr="00C64D32" w:rsidRDefault="000619AC" w:rsidP="007D505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C64D3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619AC" w:rsidRPr="00C64D32" w:rsidTr="007D5055">
        <w:trPr>
          <w:trHeight w:val="327"/>
        </w:trPr>
        <w:tc>
          <w:tcPr>
            <w:tcW w:w="1229" w:type="dxa"/>
          </w:tcPr>
          <w:p w:rsidR="000619AC" w:rsidRPr="009B155E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  <w:r w:rsidRPr="009B155E">
              <w:t>ОК 01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keepNext/>
              <w:suppressAutoHyphens/>
              <w:jc w:val="both"/>
              <w:outlineLvl w:val="1"/>
              <w:rPr>
                <w:bCs/>
                <w:i/>
                <w:iCs/>
              </w:rPr>
            </w:pPr>
            <w:r w:rsidRPr="009B155E">
              <w:rPr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9B155E">
              <w:t xml:space="preserve"> 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02</w:t>
            </w:r>
          </w:p>
        </w:tc>
        <w:tc>
          <w:tcPr>
            <w:tcW w:w="8342" w:type="dxa"/>
          </w:tcPr>
          <w:p w:rsidR="000619AC" w:rsidRPr="009B155E" w:rsidRDefault="000619AC" w:rsidP="007D5055">
            <w:r w:rsidRPr="009B155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pPr>
              <w:jc w:val="both"/>
            </w:pPr>
            <w:r w:rsidRPr="009B155E">
              <w:t>ОК 03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pStyle w:val="Default"/>
              <w:jc w:val="both"/>
            </w:pPr>
            <w:r w:rsidRPr="009B155E">
              <w:t>Планировать и реализовывать собственное профессиональное и личностное развитие.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04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  <w:rPr>
                <w:iCs/>
              </w:rPr>
            </w:pPr>
            <w:r w:rsidRPr="009B155E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05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  <w:jc w:val="both"/>
            </w:pPr>
            <w:r w:rsidRPr="009B155E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06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</w:pPr>
            <w:r w:rsidRPr="009B155E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07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</w:pPr>
            <w:r w:rsidRPr="009B155E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08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</w:pPr>
            <w:r w:rsidRPr="009B155E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09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suppressAutoHyphens/>
            </w:pPr>
            <w:r w:rsidRPr="009B155E">
              <w:t>Использовать информационные технологии в профессиональной деятельности.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10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pStyle w:val="Default"/>
              <w:jc w:val="both"/>
              <w:rPr>
                <w:highlight w:val="yellow"/>
              </w:rPr>
            </w:pPr>
            <w:r w:rsidRPr="009B155E">
              <w:t>Пользоваться профессиональной документацией на государственном и иностранных языках.</w:t>
            </w:r>
          </w:p>
        </w:tc>
      </w:tr>
      <w:tr w:rsidR="000619AC" w:rsidRPr="00C64D32" w:rsidTr="007D5055">
        <w:tc>
          <w:tcPr>
            <w:tcW w:w="1229" w:type="dxa"/>
          </w:tcPr>
          <w:p w:rsidR="000619AC" w:rsidRPr="009B155E" w:rsidRDefault="000619AC" w:rsidP="007D5055">
            <w:r w:rsidRPr="009B155E">
              <w:t>ОК 11</w:t>
            </w:r>
          </w:p>
        </w:tc>
        <w:tc>
          <w:tcPr>
            <w:tcW w:w="8342" w:type="dxa"/>
          </w:tcPr>
          <w:p w:rsidR="000619AC" w:rsidRPr="009B155E" w:rsidRDefault="000619AC" w:rsidP="007D5055">
            <w:pPr>
              <w:pStyle w:val="Default"/>
              <w:jc w:val="both"/>
            </w:pPr>
            <w:r w:rsidRPr="009B155E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619AC" w:rsidRDefault="000619AC" w:rsidP="00BA1C52">
      <w:pPr>
        <w:jc w:val="both"/>
      </w:pPr>
    </w:p>
    <w:p w:rsidR="000619AC" w:rsidRPr="000A58C0" w:rsidRDefault="000619AC" w:rsidP="00BA1C52">
      <w:pPr>
        <w:keepNext/>
        <w:jc w:val="both"/>
        <w:outlineLvl w:val="1"/>
        <w:rPr>
          <w:bCs/>
          <w:iCs/>
        </w:rPr>
      </w:pPr>
      <w:r w:rsidRPr="000A58C0">
        <w:rPr>
          <w:bCs/>
          <w:iCs/>
        </w:rPr>
        <w:t xml:space="preserve">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7999"/>
      </w:tblGrid>
      <w:tr w:rsidR="000619AC" w:rsidRPr="00C64D32" w:rsidTr="007D5055">
        <w:trPr>
          <w:trHeight w:val="141"/>
        </w:trPr>
        <w:tc>
          <w:tcPr>
            <w:tcW w:w="1150" w:type="dxa"/>
          </w:tcPr>
          <w:p w:rsidR="000619AC" w:rsidRPr="00C64D32" w:rsidRDefault="000619AC" w:rsidP="007D505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C64D32">
              <w:rPr>
                <w:b/>
                <w:bCs/>
                <w:iCs/>
              </w:rPr>
              <w:t>Код</w:t>
            </w:r>
          </w:p>
        </w:tc>
        <w:tc>
          <w:tcPr>
            <w:tcW w:w="7999" w:type="dxa"/>
          </w:tcPr>
          <w:p w:rsidR="000619AC" w:rsidRPr="00C64D32" w:rsidRDefault="000619AC" w:rsidP="007D505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C64D32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619AC" w:rsidRPr="00787D9A" w:rsidTr="007D5055">
        <w:trPr>
          <w:trHeight w:val="72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1.1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highlight w:val="yellow"/>
              </w:rPr>
            </w:pPr>
            <w:r w:rsidRPr="009A3E44">
              <w:t>Обрабатывать первичные бухгалтерские документы;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1.2.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b/>
              </w:rPr>
            </w:pPr>
            <w:r w:rsidRPr="009A3E44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1.3.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Проводить учет денежных средств, оформлять денежные и кассовые документы;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1.4.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2.1.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2.2.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2.3.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2.4.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b/>
              </w:rPr>
            </w:pPr>
            <w:r w:rsidRPr="009A3E44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0619AC" w:rsidRPr="00787D9A" w:rsidTr="007D5055">
        <w:trPr>
          <w:trHeight w:val="711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2.5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b/>
                <w:highlight w:val="yellow"/>
              </w:rPr>
            </w:pPr>
            <w:r w:rsidRPr="009A3E44">
              <w:t>Проводить процедуры инвентаризации финансовых обязательств организации</w:t>
            </w:r>
          </w:p>
        </w:tc>
      </w:tr>
      <w:tr w:rsidR="000619AC" w:rsidRPr="00787D9A" w:rsidTr="007D5055">
        <w:trPr>
          <w:trHeight w:val="1038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 xml:space="preserve">ПК 2.6 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b/>
              </w:rPr>
            </w:pPr>
            <w:r w:rsidRPr="009A3E44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2.7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3.1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619AC" w:rsidRPr="00787D9A" w:rsidTr="007D5055">
        <w:trPr>
          <w:trHeight w:val="1038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3.2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619AC" w:rsidRPr="00787D9A" w:rsidTr="007D5055">
        <w:trPr>
          <w:trHeight w:val="742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3.3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619AC" w:rsidRPr="00787D9A" w:rsidTr="007D5055">
        <w:trPr>
          <w:trHeight w:val="1038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3.4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0619AC" w:rsidRPr="00787D9A" w:rsidTr="007D5055">
        <w:trPr>
          <w:trHeight w:val="1038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4.1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  <w:color w:val="FF0000"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4.2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4.3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  <w:r w:rsidRPr="00BA1C52">
              <w:t>ПК 4.4</w:t>
            </w: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  <w:rPr>
                <w:b/>
              </w:rPr>
            </w:pPr>
            <w:r w:rsidRPr="009A3E44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4.5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Принимать участие в составлении бизнес-плана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4.6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619AC" w:rsidRPr="00C64D32" w:rsidTr="007D5055">
        <w:trPr>
          <w:trHeight w:val="756"/>
        </w:trPr>
        <w:tc>
          <w:tcPr>
            <w:tcW w:w="1150" w:type="dxa"/>
          </w:tcPr>
          <w:p w:rsidR="000619AC" w:rsidRPr="00BA1C52" w:rsidRDefault="000619AC" w:rsidP="007D5055">
            <w:pPr>
              <w:suppressAutoHyphens/>
              <w:jc w:val="both"/>
            </w:pPr>
            <w:r w:rsidRPr="00BA1C52">
              <w:t>ПК 4.7</w:t>
            </w:r>
          </w:p>
          <w:p w:rsidR="000619AC" w:rsidRPr="00BA1C52" w:rsidRDefault="000619AC" w:rsidP="007D5055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7999" w:type="dxa"/>
          </w:tcPr>
          <w:p w:rsidR="000619AC" w:rsidRPr="009A3E44" w:rsidRDefault="000619AC" w:rsidP="007D5055">
            <w:pPr>
              <w:suppressAutoHyphens/>
              <w:jc w:val="both"/>
            </w:pPr>
            <w:r w:rsidRPr="009A3E44">
              <w:t>Проводить мониторинг устранения менеджментом выявленных нарушений, недостатков и рисков</w:t>
            </w:r>
          </w:p>
          <w:p w:rsidR="000619AC" w:rsidRPr="009A3E44" w:rsidRDefault="000619AC" w:rsidP="007D5055">
            <w:pPr>
              <w:suppressAutoHyphens/>
              <w:jc w:val="both"/>
              <w:rPr>
                <w:b/>
                <w:highlight w:val="yellow"/>
              </w:rPr>
            </w:pPr>
          </w:p>
        </w:tc>
      </w:tr>
    </w:tbl>
    <w:p w:rsidR="000619AC" w:rsidRPr="00C64D32" w:rsidRDefault="000619AC" w:rsidP="00BA1C52">
      <w:pPr>
        <w:keepNext/>
        <w:jc w:val="both"/>
        <w:outlineLvl w:val="1"/>
        <w:rPr>
          <w:bCs/>
          <w:iCs/>
        </w:rPr>
      </w:pPr>
    </w:p>
    <w:p w:rsidR="000619AC" w:rsidRDefault="000619AC" w:rsidP="00BA1C52"/>
    <w:p w:rsidR="000619AC" w:rsidRDefault="000619AC" w:rsidP="00BA1C52"/>
    <w:p w:rsidR="000619AC" w:rsidRDefault="000619AC" w:rsidP="00BA1C52"/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Default="000619AC" w:rsidP="00BA1C52">
      <w:pPr>
        <w:rPr>
          <w:bCs/>
        </w:rPr>
      </w:pPr>
    </w:p>
    <w:p w:rsidR="000619AC" w:rsidRPr="00C64D32" w:rsidRDefault="000619AC" w:rsidP="00BA1C52">
      <w:pPr>
        <w:rPr>
          <w:bCs/>
        </w:rPr>
      </w:pPr>
      <w:r w:rsidRPr="00C64D32">
        <w:rPr>
          <w:bCs/>
        </w:rPr>
        <w:t xml:space="preserve">1.3. В результате освоения профессионального модуля </w:t>
      </w:r>
      <w:r>
        <w:rPr>
          <w:bCs/>
        </w:rPr>
        <w:t>обучающийся</w:t>
      </w:r>
      <w:r w:rsidRPr="00C64D32">
        <w:rPr>
          <w:bCs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0619AC" w:rsidRPr="009A3E44" w:rsidTr="007D5055">
        <w:tc>
          <w:tcPr>
            <w:tcW w:w="2802" w:type="dxa"/>
          </w:tcPr>
          <w:p w:rsidR="000619AC" w:rsidRPr="009A3E44" w:rsidRDefault="000619AC" w:rsidP="007D5055">
            <w:pPr>
              <w:jc w:val="both"/>
              <w:rPr>
                <w:bCs/>
              </w:rPr>
            </w:pPr>
            <w:r w:rsidRPr="009A3E44">
              <w:rPr>
                <w:bCs/>
              </w:rPr>
              <w:t>Иметь практический опыт</w:t>
            </w:r>
            <w:r>
              <w:rPr>
                <w:bCs/>
              </w:rPr>
              <w:t xml:space="preserve"> в:</w:t>
            </w:r>
          </w:p>
        </w:tc>
        <w:tc>
          <w:tcPr>
            <w:tcW w:w="6662" w:type="dxa"/>
          </w:tcPr>
          <w:p w:rsidR="000619AC" w:rsidRPr="00821BE5" w:rsidRDefault="000619AC" w:rsidP="007D5055">
            <w:pPr>
              <w:jc w:val="both"/>
            </w:pPr>
            <w:r w:rsidRPr="00821BE5">
              <w:t>документировании хозяйственных операций и ведении бухгалтерского учета активов организации;</w:t>
            </w:r>
          </w:p>
          <w:p w:rsidR="000619AC" w:rsidRPr="00821BE5" w:rsidRDefault="000619AC" w:rsidP="007D5055">
            <w:r w:rsidRPr="00821BE5">
              <w:t>выполнении контрольных процедур и их документировании;</w:t>
            </w:r>
          </w:p>
          <w:p w:rsidR="000619AC" w:rsidRPr="00821BE5" w:rsidRDefault="000619AC" w:rsidP="007D5055">
            <w:pPr>
              <w:jc w:val="both"/>
              <w:rPr>
                <w:bCs/>
              </w:rPr>
            </w:pPr>
            <w:r w:rsidRPr="00821BE5">
              <w:t>подготовке оформления завершающих материалов по результатам внутреннего контроля.</w:t>
            </w:r>
          </w:p>
        </w:tc>
      </w:tr>
      <w:tr w:rsidR="000619AC" w:rsidRPr="009A3E44" w:rsidTr="007D5055">
        <w:tc>
          <w:tcPr>
            <w:tcW w:w="2802" w:type="dxa"/>
          </w:tcPr>
          <w:p w:rsidR="000619AC" w:rsidRPr="009A3E44" w:rsidRDefault="000619AC" w:rsidP="007D5055">
            <w:pPr>
              <w:jc w:val="both"/>
              <w:rPr>
                <w:bCs/>
              </w:rPr>
            </w:pPr>
            <w:r w:rsidRPr="009A3E44">
              <w:rPr>
                <w:bCs/>
              </w:rPr>
              <w:t>уметь</w:t>
            </w:r>
          </w:p>
        </w:tc>
        <w:tc>
          <w:tcPr>
            <w:tcW w:w="6662" w:type="dxa"/>
          </w:tcPr>
          <w:p w:rsidR="000619AC" w:rsidRPr="00821BE5" w:rsidRDefault="000619AC" w:rsidP="00BA1C52">
            <w:r w:rsidRPr="00821BE5"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619AC" w:rsidRPr="00821BE5" w:rsidRDefault="000619AC" w:rsidP="00BA1C52">
            <w:r w:rsidRPr="00821BE5">
              <w:t>проводить формальную проверку документов, проверку по существу, арифметическую проверку;</w:t>
            </w:r>
          </w:p>
          <w:p w:rsidR="000619AC" w:rsidRPr="00821BE5" w:rsidRDefault="000619AC" w:rsidP="00BA1C52">
            <w:r w:rsidRPr="00821BE5">
              <w:t>организовывать документооборот;</w:t>
            </w:r>
          </w:p>
          <w:p w:rsidR="000619AC" w:rsidRPr="00821BE5" w:rsidRDefault="000619AC" w:rsidP="00BA1C52">
            <w:r w:rsidRPr="00821BE5">
              <w:t>заносить данные по сгруппированным документам в регистры бухгалтерского учета;</w:t>
            </w:r>
          </w:p>
          <w:p w:rsidR="000619AC" w:rsidRPr="00821BE5" w:rsidRDefault="000619AC" w:rsidP="00BA1C52">
            <w:r w:rsidRPr="00821BE5">
              <w:t>передавать первичные бухгалтерские документы в текущий бухгалтерский архив;</w:t>
            </w:r>
          </w:p>
          <w:p w:rsidR="000619AC" w:rsidRPr="00821BE5" w:rsidRDefault="000619AC" w:rsidP="00BA1C52">
            <w:r w:rsidRPr="00821BE5">
              <w:t>исправлять ошибки в первичных бухгалтерских документах;</w:t>
            </w:r>
          </w:p>
          <w:p w:rsidR="000619AC" w:rsidRPr="00821BE5" w:rsidRDefault="000619AC" w:rsidP="00BA1C52">
            <w:r w:rsidRPr="00821BE5">
              <w:t>проводить учет кассовых операций, денежных документов и переводов в пути;</w:t>
            </w:r>
          </w:p>
          <w:p w:rsidR="000619AC" w:rsidRPr="00821BE5" w:rsidRDefault="000619AC" w:rsidP="00BA1C52">
            <w:r w:rsidRPr="00821BE5">
              <w:t>учитывать особенности учета кассовых операций в иностранной валюте и операций по валютным счетам;</w:t>
            </w:r>
          </w:p>
          <w:p w:rsidR="000619AC" w:rsidRPr="00821BE5" w:rsidRDefault="000619AC" w:rsidP="00BA1C52">
            <w:r w:rsidRPr="00821BE5">
              <w:t>оформлять денежные и кассовые документы;</w:t>
            </w:r>
          </w:p>
          <w:p w:rsidR="000619AC" w:rsidRPr="00821BE5" w:rsidRDefault="000619AC" w:rsidP="00BA1C52">
            <w:r w:rsidRPr="00821BE5">
              <w:t>заполнять кассовую книгу и отчет кассира в бухгалтерию;</w:t>
            </w:r>
          </w:p>
          <w:p w:rsidR="000619AC" w:rsidRPr="00821BE5" w:rsidRDefault="000619AC" w:rsidP="00BA1C52">
            <w:r w:rsidRPr="00821BE5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619AC" w:rsidRPr="00821BE5" w:rsidRDefault="000619AC" w:rsidP="00BA1C52">
            <w:r w:rsidRPr="00821BE5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619AC" w:rsidRPr="00821BE5" w:rsidRDefault="000619AC" w:rsidP="00BA1C52">
            <w:r w:rsidRPr="00821BE5">
              <w:t>проводить физический подсчет активов;</w:t>
            </w:r>
          </w:p>
          <w:p w:rsidR="000619AC" w:rsidRPr="00821BE5" w:rsidRDefault="000619AC" w:rsidP="00BA1C52">
            <w:r w:rsidRPr="00821BE5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0619AC" w:rsidRPr="009A3E44" w:rsidTr="007D5055">
        <w:tc>
          <w:tcPr>
            <w:tcW w:w="2802" w:type="dxa"/>
          </w:tcPr>
          <w:p w:rsidR="000619AC" w:rsidRPr="009A3E44" w:rsidRDefault="000619AC" w:rsidP="007D5055">
            <w:pPr>
              <w:jc w:val="both"/>
              <w:rPr>
                <w:bCs/>
              </w:rPr>
            </w:pPr>
            <w:r w:rsidRPr="009A3E44">
              <w:rPr>
                <w:bCs/>
              </w:rPr>
              <w:t>знать</w:t>
            </w:r>
          </w:p>
        </w:tc>
        <w:tc>
          <w:tcPr>
            <w:tcW w:w="6662" w:type="dxa"/>
          </w:tcPr>
          <w:p w:rsidR="000619AC" w:rsidRPr="00821BE5" w:rsidRDefault="000619AC" w:rsidP="00BA1C52">
            <w:r w:rsidRPr="00821BE5">
              <w:t>понятие первичной бухгалтерской документации;</w:t>
            </w:r>
          </w:p>
          <w:p w:rsidR="000619AC" w:rsidRPr="00821BE5" w:rsidRDefault="000619AC" w:rsidP="00BA1C52">
            <w:r w:rsidRPr="00821BE5">
              <w:t>определение первичных бухгалтерских документов;</w:t>
            </w:r>
          </w:p>
          <w:p w:rsidR="000619AC" w:rsidRPr="00821BE5" w:rsidRDefault="000619AC" w:rsidP="00BA1C52">
            <w:r w:rsidRPr="00821BE5"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619AC" w:rsidRPr="00821BE5" w:rsidRDefault="000619AC" w:rsidP="00BA1C52">
            <w:r w:rsidRPr="00821BE5"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619AC" w:rsidRPr="00821BE5" w:rsidRDefault="000619AC" w:rsidP="00BA1C52">
            <w:r w:rsidRPr="00821BE5">
              <w:t>порядок составления регистров бухгалтерского учета;</w:t>
            </w:r>
          </w:p>
          <w:p w:rsidR="000619AC" w:rsidRPr="00821BE5" w:rsidRDefault="000619AC" w:rsidP="00BA1C52">
            <w:r w:rsidRPr="00821BE5">
              <w:t>правила и сроки хранения первичной бухгалтерской документации;</w:t>
            </w:r>
          </w:p>
          <w:p w:rsidR="000619AC" w:rsidRPr="00821BE5" w:rsidRDefault="000619AC" w:rsidP="00BA1C52">
            <w:r w:rsidRPr="00821BE5">
              <w:t>учет кассовых операций, денежных документов и переводов в пути;</w:t>
            </w:r>
          </w:p>
          <w:p w:rsidR="000619AC" w:rsidRPr="00821BE5" w:rsidRDefault="000619AC" w:rsidP="00BA1C52">
            <w:r w:rsidRPr="00821BE5">
              <w:t>особенности учета кассовых операций в иностранной валюте и операций по валютным счетам;</w:t>
            </w:r>
          </w:p>
          <w:p w:rsidR="000619AC" w:rsidRPr="00821BE5" w:rsidRDefault="000619AC" w:rsidP="00BA1C52">
            <w:r w:rsidRPr="00821BE5">
              <w:t>порядок оформления денежных и кассовых документов, заполнения кассовой книги;</w:t>
            </w:r>
          </w:p>
          <w:p w:rsidR="000619AC" w:rsidRPr="00821BE5" w:rsidRDefault="000619AC" w:rsidP="00BA1C52">
            <w:r w:rsidRPr="00821BE5">
              <w:t>правила заполнения отчета кассира в бухгалтерию;</w:t>
            </w:r>
          </w:p>
          <w:p w:rsidR="000619AC" w:rsidRPr="00821BE5" w:rsidRDefault="000619AC" w:rsidP="00BA1C52">
            <w:r w:rsidRPr="00821BE5">
              <w:t>нормативные правовые акты, регулирующие порядок проведения инвентаризации активов и обязательств;</w:t>
            </w:r>
          </w:p>
          <w:p w:rsidR="000619AC" w:rsidRPr="00821BE5" w:rsidRDefault="000619AC" w:rsidP="00BA1C52">
            <w:r w:rsidRPr="00821BE5">
              <w:t>основные понятия инвентаризации активов;</w:t>
            </w:r>
          </w:p>
          <w:p w:rsidR="000619AC" w:rsidRPr="00821BE5" w:rsidRDefault="000619AC" w:rsidP="00BA1C52">
            <w:r w:rsidRPr="00821BE5">
              <w:t>характеристику объектов, подлежащих инвентаризации;</w:t>
            </w:r>
          </w:p>
          <w:p w:rsidR="000619AC" w:rsidRPr="00821BE5" w:rsidRDefault="000619AC" w:rsidP="00BA1C52">
            <w:r w:rsidRPr="00821BE5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619AC" w:rsidRPr="00821BE5" w:rsidRDefault="000619AC" w:rsidP="00BA1C52">
            <w:r w:rsidRPr="00821BE5">
              <w:t>прием</w:t>
            </w:r>
            <w:r>
              <w:t>ы физического подсчета активов;</w:t>
            </w:r>
          </w:p>
        </w:tc>
      </w:tr>
    </w:tbl>
    <w:p w:rsidR="000619AC" w:rsidRDefault="000619AC" w:rsidP="00BA1C52"/>
    <w:p w:rsidR="000619AC" w:rsidRPr="00C64D32" w:rsidRDefault="000619AC" w:rsidP="00BA1C52">
      <w:pPr>
        <w:rPr>
          <w:b/>
        </w:rPr>
      </w:pPr>
    </w:p>
    <w:p w:rsidR="000619AC" w:rsidRPr="00C64D32" w:rsidRDefault="000619AC" w:rsidP="00BA1C52">
      <w:pPr>
        <w:rPr>
          <w:b/>
        </w:rPr>
      </w:pPr>
      <w:r w:rsidRPr="00C64D32">
        <w:rPr>
          <w:b/>
        </w:rPr>
        <w:t>1.2. Количество часов, отводимое на освоение профессионального модуля</w:t>
      </w:r>
    </w:p>
    <w:p w:rsidR="000619AC" w:rsidRPr="008F7060" w:rsidRDefault="000619AC" w:rsidP="00BA1C52">
      <w:r>
        <w:t>Всего часов -  12</w:t>
      </w:r>
      <w:r w:rsidRPr="008F7060">
        <w:t>4 часа;</w:t>
      </w:r>
    </w:p>
    <w:p w:rsidR="000619AC" w:rsidRPr="008F7060" w:rsidRDefault="000619AC" w:rsidP="00BA1C52">
      <w:r>
        <w:t>Из них на освоение МДК - 7</w:t>
      </w:r>
      <w:r w:rsidRPr="008F7060">
        <w:t>6 часов;</w:t>
      </w:r>
    </w:p>
    <w:p w:rsidR="000619AC" w:rsidRPr="008F7060" w:rsidRDefault="000619AC" w:rsidP="00BA1C52">
      <w:r w:rsidRPr="008F7060">
        <w:t>Учебная практика - 36 часов;</w:t>
      </w:r>
    </w:p>
    <w:p w:rsidR="000619AC" w:rsidRDefault="000619AC" w:rsidP="00A06E7F">
      <w:r>
        <w:t>Экзамен по модулю</w:t>
      </w:r>
      <w:r w:rsidRPr="008F7060">
        <w:t xml:space="preserve"> – 12 часов</w:t>
      </w:r>
      <w:r>
        <w:t>.</w:t>
      </w:r>
    </w:p>
    <w:sectPr w:rsidR="000619AC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D89"/>
    <w:multiLevelType w:val="hybridMultilevel"/>
    <w:tmpl w:val="A0AEB414"/>
    <w:lvl w:ilvl="0" w:tplc="3EB8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91B27A4"/>
    <w:multiLevelType w:val="multilevel"/>
    <w:tmpl w:val="F790DB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A23"/>
    <w:rsid w:val="000619AC"/>
    <w:rsid w:val="000A58C0"/>
    <w:rsid w:val="00255C10"/>
    <w:rsid w:val="002E495C"/>
    <w:rsid w:val="003B2AEE"/>
    <w:rsid w:val="00685EC7"/>
    <w:rsid w:val="00782466"/>
    <w:rsid w:val="00787D9A"/>
    <w:rsid w:val="007D5055"/>
    <w:rsid w:val="00821BE5"/>
    <w:rsid w:val="00883929"/>
    <w:rsid w:val="008F7060"/>
    <w:rsid w:val="009800DE"/>
    <w:rsid w:val="009A3E44"/>
    <w:rsid w:val="009B155E"/>
    <w:rsid w:val="00A06E7F"/>
    <w:rsid w:val="00A66DF4"/>
    <w:rsid w:val="00A70081"/>
    <w:rsid w:val="00A80CD6"/>
    <w:rsid w:val="00BA1C52"/>
    <w:rsid w:val="00BC7A23"/>
    <w:rsid w:val="00C33B32"/>
    <w:rsid w:val="00C64D32"/>
    <w:rsid w:val="00D80B90"/>
    <w:rsid w:val="00D8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BC7A23"/>
    <w:pPr>
      <w:ind w:left="720"/>
      <w:contextualSpacing/>
    </w:pPr>
  </w:style>
  <w:style w:type="table" w:styleId="TableGrid">
    <w:name w:val="Table Grid"/>
    <w:basedOn w:val="TableNormal"/>
    <w:uiPriority w:val="99"/>
    <w:rsid w:val="00BC7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782466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2466"/>
    <w:pPr>
      <w:shd w:val="clear" w:color="auto" w:fill="FFFFFF"/>
      <w:spacing w:after="3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List">
    <w:name w:val="List"/>
    <w:basedOn w:val="Normal"/>
    <w:uiPriority w:val="99"/>
    <w:rsid w:val="00782466"/>
    <w:pPr>
      <w:ind w:left="283" w:hanging="283"/>
      <w:contextualSpacing/>
    </w:pPr>
  </w:style>
  <w:style w:type="paragraph" w:customStyle="1" w:styleId="Default">
    <w:name w:val="Default"/>
    <w:uiPriority w:val="99"/>
    <w:rsid w:val="00BA1C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BA1C5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1149</Words>
  <Characters>6555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ArkovaTP</dc:creator>
  <cp:keywords/>
  <dc:description/>
  <cp:lastModifiedBy>Владимир</cp:lastModifiedBy>
  <cp:revision>4</cp:revision>
  <dcterms:created xsi:type="dcterms:W3CDTF">2019-09-12T09:45:00Z</dcterms:created>
  <dcterms:modified xsi:type="dcterms:W3CDTF">2019-09-28T21:35:00Z</dcterms:modified>
</cp:coreProperties>
</file>